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I</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Congress shall make no law respecting an establishment of religion, or prohibiting the free exercise there</w:t>
      </w:r>
      <w:bookmarkStart w:id="0" w:name="_GoBack"/>
      <w:bookmarkEnd w:id="0"/>
      <w:r w:rsidRPr="003C3065">
        <w:rPr>
          <w:rFonts w:ascii="Arial" w:eastAsia="Times New Roman" w:hAnsi="Arial" w:cs="Arial"/>
          <w:color w:val="333333"/>
          <w:szCs w:val="26"/>
        </w:rPr>
        <w:t>of; or abridging the freedom of speech, or of the press; or the right of the people peaceably to assemble, and to petition the government for a redress of grievances.</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II</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 xml:space="preserve">A </w:t>
      </w:r>
      <w:proofErr w:type="spellStart"/>
      <w:r w:rsidRPr="003C3065">
        <w:rPr>
          <w:rFonts w:ascii="Arial" w:eastAsia="Times New Roman" w:hAnsi="Arial" w:cs="Arial"/>
          <w:color w:val="333333"/>
          <w:szCs w:val="26"/>
        </w:rPr>
        <w:t>well regulated</w:t>
      </w:r>
      <w:proofErr w:type="spellEnd"/>
      <w:r w:rsidRPr="003C3065">
        <w:rPr>
          <w:rFonts w:ascii="Arial" w:eastAsia="Times New Roman" w:hAnsi="Arial" w:cs="Arial"/>
          <w:color w:val="333333"/>
          <w:szCs w:val="26"/>
        </w:rPr>
        <w:t xml:space="preserve"> militia, being necessary to the security of a free state, the right of the people to keep and bear arms, shall not be infringed.</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III</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No soldier shall, in time of peace be quartered in any house, without the consent of the owner, nor in time of war, but in a manner to be prescribed by law.</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IV</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V</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VI</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w:t>
      </w:r>
      <w:r w:rsidRPr="003C3065">
        <w:rPr>
          <w:rFonts w:ascii="Arial" w:eastAsia="Times New Roman" w:hAnsi="Arial" w:cs="Arial"/>
          <w:color w:val="333333"/>
          <w:szCs w:val="26"/>
        </w:rPr>
        <w:lastRenderedPageBreak/>
        <w:t>cause of the accusation; to be confronted with the witnesses against him; to have compulsory process for obtaining witnesses in his favor, and to have the assistance of counsel for his defense.</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VII</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VIII</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Excessive bail shall not be required, nor excessive fines imposed, nor cruel and unusual punishments inflicted.</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IX</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The enumeration in the Constitution, of certain rights, shall not be construed to deny or disparage others retained by the people.</w:t>
      </w:r>
    </w:p>
    <w:p w:rsidR="003C3065" w:rsidRPr="003C3065" w:rsidRDefault="003C3065" w:rsidP="003C3065">
      <w:pPr>
        <w:shd w:val="clear" w:color="auto" w:fill="FFFFFF"/>
        <w:spacing w:before="300" w:after="150" w:line="240" w:lineRule="auto"/>
        <w:outlineLvl w:val="2"/>
        <w:rPr>
          <w:rFonts w:ascii="Arial" w:eastAsia="Times New Roman" w:hAnsi="Arial" w:cs="Arial"/>
          <w:color w:val="333333"/>
          <w:spacing w:val="15"/>
          <w:sz w:val="28"/>
          <w:szCs w:val="36"/>
        </w:rPr>
      </w:pPr>
      <w:r w:rsidRPr="003C3065">
        <w:rPr>
          <w:rFonts w:ascii="Arial" w:eastAsia="Times New Roman" w:hAnsi="Arial" w:cs="Arial"/>
          <w:color w:val="333333"/>
          <w:spacing w:val="15"/>
          <w:sz w:val="28"/>
          <w:szCs w:val="36"/>
        </w:rPr>
        <w:t>Amendment X</w:t>
      </w:r>
    </w:p>
    <w:p w:rsidR="003C3065" w:rsidRPr="003C3065" w:rsidRDefault="003C3065" w:rsidP="003C3065">
      <w:pPr>
        <w:shd w:val="clear" w:color="auto" w:fill="FFFFFF"/>
        <w:spacing w:after="300" w:line="390" w:lineRule="atLeast"/>
        <w:rPr>
          <w:rFonts w:ascii="Arial" w:eastAsia="Times New Roman" w:hAnsi="Arial" w:cs="Arial"/>
          <w:color w:val="333333"/>
          <w:szCs w:val="26"/>
        </w:rPr>
      </w:pPr>
      <w:r w:rsidRPr="003C3065">
        <w:rPr>
          <w:rFonts w:ascii="Arial" w:eastAsia="Times New Roman" w:hAnsi="Arial" w:cs="Arial"/>
          <w:color w:val="333333"/>
          <w:szCs w:val="26"/>
        </w:rPr>
        <w:t>The powers not delegated to the United States by the Constitution, nor prohibited by it to the states, are reserved to the states respectively, or to the people.</w:t>
      </w:r>
    </w:p>
    <w:p w:rsidR="00C4122F" w:rsidRPr="003C3065" w:rsidRDefault="003C3065">
      <w:pPr>
        <w:rPr>
          <w:sz w:val="18"/>
        </w:rPr>
      </w:pPr>
    </w:p>
    <w:sectPr w:rsidR="00C4122F" w:rsidRPr="003C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65"/>
    <w:rsid w:val="003C3065"/>
    <w:rsid w:val="009E42FB"/>
    <w:rsid w:val="00A5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5E5E-07F7-42C7-AC75-B55910D2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30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30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3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2017-10-03T22:17:00Z</dcterms:created>
  <dcterms:modified xsi:type="dcterms:W3CDTF">2017-10-03T22:18:00Z</dcterms:modified>
</cp:coreProperties>
</file>